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262D9D73" w:rsidR="004960E0" w:rsidRPr="00F60B60" w:rsidRDefault="004960E0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A25-</w:t>
      </w:r>
      <w:r w:rsidR="00203133">
        <w:rPr>
          <w:rFonts w:ascii="Calibri" w:hAnsi="Calibri" w:cs="Calibri"/>
          <w:b/>
          <w:sz w:val="28"/>
          <w:szCs w:val="28"/>
          <w:u w:val="single"/>
        </w:rPr>
        <w:t>60-C80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1B69899A" w14:textId="77777777" w:rsidR="005B1EC2" w:rsidRPr="004E6C4F" w:rsidRDefault="005B1EC2" w:rsidP="005B1EC2">
      <w:r w:rsidRPr="004E6C4F">
        <w:t>Borne escamotable automatique</w:t>
      </w:r>
      <w:r>
        <w:t xml:space="preserve"> anti-véhicule bélier à</w:t>
      </w:r>
      <w:r w:rsidRPr="004E6C4F">
        <w:t xml:space="preserve"> motorisation</w:t>
      </w:r>
      <w:r>
        <w:t xml:space="preserve"> hydraulique</w:t>
      </w:r>
      <w:r w:rsidRPr="004E6C4F">
        <w:t xml:space="preserve"> </w:t>
      </w:r>
      <w:r>
        <w:t>déportée avec logique de commande One C et pompe hydraulique intégrés dans un totem technique équipé de feux de signalisation</w:t>
      </w:r>
    </w:p>
    <w:p w14:paraId="48884F2F" w14:textId="226DF25F" w:rsidR="004960E0" w:rsidRPr="004E6C4F" w:rsidRDefault="005B1EC2" w:rsidP="005B1EC2">
      <w:r>
        <w:t>Résistance 7t5 à 64 km/h (1 150 000 Joules)</w:t>
      </w:r>
    </w:p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79D72E8E" w14:textId="77777777" w:rsidR="00E1285F" w:rsidRDefault="00E1285F" w:rsidP="004960E0"/>
    <w:p w14:paraId="094E8A4C" w14:textId="27978685" w:rsidR="0062079A" w:rsidRDefault="00E1285F" w:rsidP="00E1285F">
      <w:bookmarkStart w:id="0" w:name="_Hlk175834490"/>
      <w:r w:rsidRPr="004E6C4F">
        <w:t>Borne escamotable automatique</w:t>
      </w:r>
      <w:r>
        <w:t xml:space="preserve"> anti-véhicule bélier A25-60-C80</w:t>
      </w:r>
      <w:r w:rsidR="00B91AF8">
        <w:t xml:space="preserve"> RAL au choix,</w:t>
      </w:r>
      <w:r>
        <w:t xml:space="preserve"> de chez AMCO de dimension Ø 250mm Ht 600 mm, </w:t>
      </w:r>
      <w:bookmarkStart w:id="1" w:name="_Hlk175833610"/>
      <w:r w:rsidR="00DC2DE9">
        <w:t>le fournisseur</w:t>
      </w:r>
      <w:r w:rsidR="008F3436">
        <w:t xml:space="preserve"> devra être en mesure de </w:t>
      </w:r>
      <w:r w:rsidR="00286B40">
        <w:t>dé</w:t>
      </w:r>
      <w:r w:rsidR="008F3436">
        <w:t xml:space="preserve">montrer sa capacité à stopper </w:t>
      </w:r>
      <w:bookmarkEnd w:id="1"/>
      <w:r w:rsidR="008F3436">
        <w:t xml:space="preserve">poids </w:t>
      </w:r>
      <w:r>
        <w:t>lourd de 7t5 lancé à 64 Km/h</w:t>
      </w:r>
      <w:r w:rsidR="0062079A">
        <w:t>.</w:t>
      </w:r>
    </w:p>
    <w:p w14:paraId="251C3950" w14:textId="77777777" w:rsidR="0062079A" w:rsidRDefault="0062079A" w:rsidP="0062079A">
      <w:r>
        <w:t>La m</w:t>
      </w:r>
      <w:r w:rsidRPr="004E6C4F">
        <w:t>otorisation</w:t>
      </w:r>
      <w:r>
        <w:t xml:space="preserve"> hydraulique</w:t>
      </w:r>
      <w:r w:rsidRPr="004E6C4F">
        <w:t xml:space="preserve"> </w:t>
      </w:r>
      <w:r>
        <w:t>est déportée avec la logique de commande One C dans un totem technique équipé de feux de signalisation, d’un déverrouillage pompier et de dispositif de commande adapté au projet.</w:t>
      </w:r>
    </w:p>
    <w:p w14:paraId="46CF7247" w14:textId="77777777" w:rsidR="0062079A" w:rsidRDefault="0062079A" w:rsidP="0062079A">
      <w:r>
        <w:t>La sécurité de fonctionnement sera assurée par des boucles de détection.</w:t>
      </w:r>
    </w:p>
    <w:bookmarkEnd w:id="0"/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p w14:paraId="34F3DA5F" w14:textId="77777777" w:rsidR="00A74047" w:rsidRDefault="00A74047" w:rsidP="004960E0">
      <w:pPr>
        <w:rPr>
          <w:b/>
          <w:bCs/>
          <w:u w:val="single"/>
        </w:rPr>
      </w:pPr>
    </w:p>
    <w:p w14:paraId="397B236E" w14:textId="77777777" w:rsidR="00A74047" w:rsidRDefault="00A74047" w:rsidP="004960E0">
      <w:pPr>
        <w:rPr>
          <w:b/>
          <w:bCs/>
          <w:u w:val="single"/>
        </w:rPr>
      </w:pPr>
    </w:p>
    <w:p w14:paraId="760850E0" w14:textId="77777777" w:rsidR="00A74047" w:rsidRDefault="00A74047" w:rsidP="004960E0">
      <w:pPr>
        <w:rPr>
          <w:b/>
          <w:bCs/>
          <w:u w:val="single"/>
        </w:rPr>
      </w:pPr>
    </w:p>
    <w:p w14:paraId="639DA2EC" w14:textId="77777777" w:rsidR="00A74047" w:rsidRDefault="00A74047" w:rsidP="004960E0">
      <w:pPr>
        <w:rPr>
          <w:b/>
          <w:bCs/>
          <w:u w:val="single"/>
        </w:rPr>
      </w:pPr>
    </w:p>
    <w:p w14:paraId="1CB87D57" w14:textId="77777777" w:rsidR="00A74047" w:rsidRDefault="00A74047" w:rsidP="004960E0">
      <w:pPr>
        <w:rPr>
          <w:b/>
          <w:bCs/>
          <w:u w:val="single"/>
        </w:rPr>
      </w:pPr>
    </w:p>
    <w:p w14:paraId="4A781B58" w14:textId="77777777" w:rsidR="00A74047" w:rsidRDefault="00A74047" w:rsidP="004960E0">
      <w:pPr>
        <w:rPr>
          <w:b/>
          <w:bCs/>
          <w:u w:val="single"/>
        </w:rPr>
      </w:pPr>
    </w:p>
    <w:p w14:paraId="1895617F" w14:textId="77777777" w:rsidR="00A74047" w:rsidRDefault="00A74047" w:rsidP="004960E0">
      <w:pPr>
        <w:rPr>
          <w:b/>
          <w:bCs/>
          <w:u w:val="single"/>
        </w:rPr>
      </w:pPr>
    </w:p>
    <w:p w14:paraId="22F9D230" w14:textId="77777777" w:rsidR="00A74047" w:rsidRDefault="00A74047" w:rsidP="004960E0">
      <w:pPr>
        <w:rPr>
          <w:b/>
          <w:bCs/>
          <w:u w:val="single"/>
        </w:rPr>
      </w:pPr>
    </w:p>
    <w:p w14:paraId="7D1AAE84" w14:textId="77777777" w:rsidR="00A74047" w:rsidRDefault="00A74047" w:rsidP="004960E0">
      <w:pPr>
        <w:rPr>
          <w:b/>
          <w:bCs/>
          <w:u w:val="single"/>
        </w:rPr>
      </w:pP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42483382" w14:textId="42ADA1F7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70EE576A" w14:textId="44A818E7" w:rsidR="004960E0" w:rsidRPr="004960E0" w:rsidRDefault="004960E0" w:rsidP="004960E0">
      <w:pPr>
        <w:rPr>
          <w:rFonts w:ascii="Aptos" w:hAnsi="Aptos"/>
        </w:rPr>
      </w:pPr>
      <w:r w:rsidRPr="004960E0">
        <w:rPr>
          <w:rFonts w:ascii="Aptos" w:hAnsi="Aptos"/>
        </w:rPr>
        <w:t xml:space="preserve">Les bornes seront des bornes escamotables à motorisation </w:t>
      </w:r>
      <w:r w:rsidRPr="004960E0">
        <w:rPr>
          <w:rFonts w:ascii="Aptos" w:hAnsi="Aptos"/>
          <w:b/>
        </w:rPr>
        <w:t xml:space="preserve">hydraulique </w:t>
      </w:r>
      <w:r w:rsidR="00097986">
        <w:rPr>
          <w:rFonts w:ascii="Aptos" w:hAnsi="Aptos"/>
          <w:b/>
        </w:rPr>
        <w:t xml:space="preserve">déportée </w:t>
      </w:r>
      <w:r w:rsidRPr="004960E0">
        <w:rPr>
          <w:rFonts w:ascii="Aptos" w:hAnsi="Aptos"/>
        </w:rPr>
        <w:t>de type ALE A25/60</w:t>
      </w:r>
      <w:r w:rsidR="00AB069F">
        <w:rPr>
          <w:rFonts w:ascii="Aptos" w:hAnsi="Aptos"/>
        </w:rPr>
        <w:t>C80</w:t>
      </w:r>
      <w:r>
        <w:rPr>
          <w:rFonts w:ascii="Aptos" w:hAnsi="Aptos"/>
        </w:rPr>
        <w:t xml:space="preserve"> de</w:t>
      </w:r>
      <w:r w:rsidRPr="004960E0">
        <w:rPr>
          <w:rFonts w:ascii="Aptos" w:hAnsi="Aptos"/>
        </w:rPr>
        <w:t xml:space="preserve">s établissements AMCO-LBA, conforme à la norme NFP  98-310 et au décret du 18.09.2012 relatif à l’accessibilité aux espaces publics – Finition </w:t>
      </w:r>
      <w:r w:rsidR="00203133">
        <w:rPr>
          <w:rFonts w:ascii="Aptos" w:hAnsi="Aptos"/>
        </w:rPr>
        <w:t>acier</w:t>
      </w:r>
      <w:r w:rsidR="007E666B">
        <w:rPr>
          <w:rFonts w:ascii="Aptos" w:hAnsi="Aptos"/>
        </w:rPr>
        <w:t xml:space="preserve"> peint</w:t>
      </w:r>
      <w:r w:rsidRPr="004960E0">
        <w:rPr>
          <w:rFonts w:ascii="Aptos" w:hAnsi="Aptos"/>
        </w:rPr>
        <w:t xml:space="preserve"> RAL au choix du maître d’ouvrage.</w:t>
      </w:r>
    </w:p>
    <w:p w14:paraId="3BACCD4C" w14:textId="3587AC69" w:rsidR="00BB5E24" w:rsidRPr="00BB5E24" w:rsidRDefault="00D32F63" w:rsidP="00BB5E24">
      <w:r w:rsidRPr="004960E0">
        <w:rPr>
          <w:rFonts w:ascii="Aptos" w:hAnsi="Aptos"/>
        </w:rPr>
        <w:t xml:space="preserve">Borne </w:t>
      </w:r>
      <w:r w:rsidRPr="00BB5E24">
        <w:t xml:space="preserve">offrant </w:t>
      </w:r>
      <w:r w:rsidR="00BB5E24" w:rsidRPr="00BB5E24">
        <w:t xml:space="preserve">une résistance minimum de </w:t>
      </w:r>
      <w:r w:rsidR="00BB5E24">
        <w:t>750 000</w:t>
      </w:r>
      <w:r w:rsidR="00BB5E24" w:rsidRPr="00BB5E24">
        <w:t xml:space="preserve"> Joules sans déformation, cette résistance devra être démontrée par un crash test réalisé avec un fourgon de 1T750 lancée à 80 Km/h complété d’un crash test numérique prouvant sa capacité à stopper un Poids lourd de 7t5 à 64 km/h soit 1</w:t>
      </w:r>
      <w:r w:rsidR="00BB5E24" w:rsidRPr="00BB5E24">
        <w:rPr>
          <w:rFonts w:cs="Calibri"/>
        </w:rPr>
        <w:t> </w:t>
      </w:r>
      <w:r w:rsidR="00BB5E24" w:rsidRPr="00BB5E24">
        <w:t>164</w:t>
      </w:r>
      <w:r w:rsidR="00BB5E24" w:rsidRPr="00BB5E24">
        <w:rPr>
          <w:rFonts w:cs="Calibri"/>
        </w:rPr>
        <w:t> </w:t>
      </w:r>
      <w:r w:rsidR="00BB5E24" w:rsidRPr="00BB5E24">
        <w:t>000 Joules</w:t>
      </w:r>
    </w:p>
    <w:p w14:paraId="6FBDDD71" w14:textId="24573D41" w:rsidR="00D32F63" w:rsidRDefault="00BB5E24" w:rsidP="00D32F63">
      <w:pPr>
        <w:rPr>
          <w:rFonts w:ascii="Aptos" w:hAnsi="Aptos"/>
        </w:rPr>
      </w:pPr>
      <w:r w:rsidRPr="004960E0">
        <w:rPr>
          <w:rFonts w:ascii="Aptos" w:hAnsi="Aptos"/>
        </w:rPr>
        <w:t>Cette</w:t>
      </w:r>
      <w:r w:rsidR="00D32F63" w:rsidRPr="004960E0">
        <w:rPr>
          <w:rFonts w:ascii="Aptos" w:hAnsi="Aptos"/>
        </w:rPr>
        <w:t xml:space="preserve"> résistance devra être démontrée par un certificat de résistance émanant d’un organisme agréée Cofrac</w:t>
      </w:r>
      <w:r>
        <w:rPr>
          <w:rFonts w:ascii="Aptos" w:hAnsi="Aptos"/>
        </w:rPr>
        <w:t>.</w:t>
      </w:r>
    </w:p>
    <w:p w14:paraId="3C9EBDD8" w14:textId="1AB693C6" w:rsidR="00BB5E24" w:rsidRPr="004960E0" w:rsidRDefault="00BB5E24" w:rsidP="00D32F63">
      <w:pPr>
        <w:rPr>
          <w:rFonts w:ascii="Aptos" w:hAnsi="Aptos"/>
        </w:rPr>
      </w:pPr>
      <w:r>
        <w:rPr>
          <w:rFonts w:ascii="Aptos" w:hAnsi="Aptos"/>
        </w:rPr>
        <w:t xml:space="preserve">La borne sera </w:t>
      </w:r>
      <w:r w:rsidR="00203133">
        <w:rPr>
          <w:rFonts w:ascii="Aptos" w:hAnsi="Aptos"/>
        </w:rPr>
        <w:t>scellée</w:t>
      </w:r>
      <w:r>
        <w:rPr>
          <w:rFonts w:ascii="Aptos" w:hAnsi="Aptos"/>
        </w:rPr>
        <w:t xml:space="preserve"> directement dans le béton, l</w:t>
      </w:r>
      <w:r w:rsidR="00203133">
        <w:rPr>
          <w:rFonts w:ascii="Aptos" w:hAnsi="Aptos"/>
        </w:rPr>
        <w:t>a fourniture de la cage acier permettant de garantir la conformité du scellement sera fournie par le fabricant</w:t>
      </w:r>
    </w:p>
    <w:p w14:paraId="46509ABB" w14:textId="77777777" w:rsidR="004960E0" w:rsidRPr="004960E0" w:rsidRDefault="004960E0" w:rsidP="004960E0">
      <w:pPr>
        <w:rPr>
          <w:rFonts w:ascii="Aptos" w:hAnsi="Aptos"/>
        </w:rPr>
      </w:pPr>
    </w:p>
    <w:p w14:paraId="1D4CC484" w14:textId="77777777" w:rsidR="004960E0" w:rsidRPr="004960E0" w:rsidRDefault="004960E0" w:rsidP="004960E0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>Chaque BORNE est constituée</w:t>
      </w:r>
      <w:r w:rsidRPr="004960E0">
        <w:rPr>
          <w:rFonts w:ascii="Aptos" w:hAnsi="Aptos" w:cs="Calibri"/>
          <w:b/>
        </w:rPr>
        <w:t> </w:t>
      </w:r>
      <w:r w:rsidRPr="004960E0">
        <w:rPr>
          <w:rFonts w:ascii="Aptos" w:hAnsi="Aptos"/>
          <w:b/>
        </w:rPr>
        <w:t xml:space="preserve">:       </w:t>
      </w:r>
    </w:p>
    <w:p w14:paraId="251BB87F" w14:textId="77777777" w:rsidR="004960E0" w:rsidRPr="004960E0" w:rsidRDefault="004960E0" w:rsidP="004960E0">
      <w:pPr>
        <w:jc w:val="both"/>
        <w:rPr>
          <w:rFonts w:ascii="Aptos" w:hAnsi="Aptos"/>
        </w:rPr>
      </w:pPr>
    </w:p>
    <w:p w14:paraId="3381B0FC" w14:textId="6EC318EF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cylindre en Acier</w:t>
      </w:r>
      <w:r w:rsidR="00BB5E24">
        <w:rPr>
          <w:rFonts w:ascii="Aptos" w:hAnsi="Aptos"/>
        </w:rPr>
        <w:t xml:space="preserve"> de forte épaisseur</w:t>
      </w:r>
      <w:r w:rsidRPr="004960E0">
        <w:rPr>
          <w:rFonts w:ascii="Aptos" w:hAnsi="Aptos"/>
        </w:rPr>
        <w:t xml:space="preserve"> </w:t>
      </w:r>
      <w:r w:rsidRPr="004960E0">
        <w:rPr>
          <w:rFonts w:ascii="Aptos" w:hAnsi="Aptos" w:cs="Vrinda"/>
        </w:rPr>
        <w:t>Ø</w:t>
      </w:r>
      <w:r w:rsidRPr="004960E0">
        <w:rPr>
          <w:rFonts w:ascii="Aptos" w:hAnsi="Aptos"/>
        </w:rPr>
        <w:t>25 cm Hauteur 60 cm,</w:t>
      </w:r>
      <w:r w:rsidR="007E666B">
        <w:rPr>
          <w:rFonts w:ascii="Aptos" w:hAnsi="Aptos"/>
        </w:rPr>
        <w:t xml:space="preserve"> </w:t>
      </w:r>
      <w:r w:rsidRPr="004960E0">
        <w:rPr>
          <w:rFonts w:ascii="Aptos" w:hAnsi="Aptos"/>
        </w:rPr>
        <w:t>intégrant un bandeau lumineux</w:t>
      </w:r>
    </w:p>
    <w:p w14:paraId="116F8D04" w14:textId="77777777" w:rsid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disque de finition en Inox intégré sur le dessus du cylindre</w:t>
      </w:r>
    </w:p>
    <w:p w14:paraId="3A4C1D24" w14:textId="1009E375" w:rsidR="00BB5E24" w:rsidRPr="00BB5E24" w:rsidRDefault="00BB5E24" w:rsidP="00BB5E24">
      <w:pPr>
        <w:pStyle w:val="Paragraphedeliste"/>
        <w:numPr>
          <w:ilvl w:val="0"/>
          <w:numId w:val="1"/>
        </w:numPr>
        <w:suppressAutoHyphens/>
        <w:contextualSpacing w:val="0"/>
        <w:jc w:val="both"/>
      </w:pPr>
      <w:r w:rsidRPr="00BB5E24">
        <w:t>D’une plaque de sol en acier épaisseur 20 mm surmonté d’une plaque Inox sur la partie exposée aux roulements ;</w:t>
      </w:r>
    </w:p>
    <w:p w14:paraId="7F818148" w14:textId="3D3A02D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 </w:t>
      </w:r>
      <w:r w:rsidR="00BB5E24">
        <w:rPr>
          <w:rFonts w:ascii="Aptos" w:hAnsi="Aptos"/>
        </w:rPr>
        <w:t xml:space="preserve">double </w:t>
      </w:r>
      <w:r w:rsidRPr="004960E0">
        <w:rPr>
          <w:rFonts w:ascii="Aptos" w:hAnsi="Aptos"/>
        </w:rPr>
        <w:t>système de Guidage en PEHD 1000 solidaire de la borne</w:t>
      </w:r>
      <w:r w:rsidR="00BB5E24">
        <w:rPr>
          <w:rFonts w:ascii="Aptos" w:hAnsi="Aptos"/>
        </w:rPr>
        <w:t xml:space="preserve"> + galets</w:t>
      </w:r>
      <w:r w:rsidRPr="004960E0">
        <w:rPr>
          <w:rFonts w:ascii="Aptos" w:hAnsi="Aptos"/>
        </w:rPr>
        <w:t> ; </w:t>
      </w:r>
    </w:p>
    <w:p w14:paraId="26499527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 w:cs="Arial"/>
        </w:rPr>
      </w:pPr>
      <w:r w:rsidRPr="004960E0">
        <w:rPr>
          <w:rFonts w:ascii="Aptos" w:hAnsi="Aptos" w:cs="Arial"/>
        </w:rPr>
        <w:t>D’un joint brosse évitant les rayures sur le fût</w:t>
      </w:r>
    </w:p>
    <w:p w14:paraId="43055CAD" w14:textId="6C520372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>D’un châssis en acier haute résistance</w:t>
      </w:r>
      <w:r w:rsidR="00BB5E24">
        <w:rPr>
          <w:rFonts w:ascii="Aptos" w:hAnsi="Aptos"/>
        </w:rPr>
        <w:t xml:space="preserve"> traité par galvanisation à chaud</w:t>
      </w:r>
    </w:p>
    <w:p w14:paraId="73A545E1" w14:textId="77777777" w:rsidR="004960E0" w:rsidRPr="004960E0" w:rsidRDefault="004960E0" w:rsidP="004960E0">
      <w:pPr>
        <w:pStyle w:val="Paragraphedeliste"/>
        <w:numPr>
          <w:ilvl w:val="0"/>
          <w:numId w:val="1"/>
        </w:numPr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Descente de la borne par gravité sans assistance manuelle ni électrique en cas de coupure </w:t>
      </w:r>
      <w:r w:rsidRPr="004960E0">
        <w:rPr>
          <w:rFonts w:ascii="Aptos" w:hAnsi="Aptos" w:cs="Averta Light"/>
        </w:rPr>
        <w:t>é</w:t>
      </w:r>
      <w:r w:rsidRPr="004960E0">
        <w:rPr>
          <w:rFonts w:ascii="Aptos" w:hAnsi="Aptos"/>
        </w:rPr>
        <w:t>lectrique.</w:t>
      </w:r>
    </w:p>
    <w:p w14:paraId="2676C6B2" w14:textId="77777777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Le caisson sera raccordé à l’assainissement si le réseau est à proximité, dans le cas contraire, les bornes seront raccordées à une couche drainante. </w:t>
      </w:r>
    </w:p>
    <w:p w14:paraId="35B15B2E" w14:textId="58798210" w:rsidR="004960E0" w:rsidRPr="004960E0" w:rsidRDefault="004960E0" w:rsidP="004960E0">
      <w:pPr>
        <w:pStyle w:val="Paragraphedeliste"/>
        <w:numPr>
          <w:ilvl w:val="0"/>
          <w:numId w:val="1"/>
        </w:numPr>
        <w:suppressAutoHyphens/>
        <w:contextualSpacing w:val="0"/>
        <w:jc w:val="both"/>
        <w:rPr>
          <w:rFonts w:ascii="Aptos" w:hAnsi="Aptos"/>
        </w:rPr>
      </w:pPr>
      <w:r w:rsidRPr="004960E0">
        <w:rPr>
          <w:rFonts w:ascii="Aptos" w:hAnsi="Aptos"/>
        </w:rPr>
        <w:t xml:space="preserve">D’une pompe </w:t>
      </w:r>
      <w:r w:rsidR="00097986">
        <w:rPr>
          <w:rFonts w:ascii="Aptos" w:hAnsi="Aptos"/>
        </w:rPr>
        <w:t>industrielle dimensionnée en fonction du nombre de borne à motoriser et intégré dans le totem technique</w:t>
      </w:r>
      <w:r w:rsidRPr="004960E0">
        <w:rPr>
          <w:rFonts w:ascii="Aptos" w:hAnsi="Aptos"/>
        </w:rPr>
        <w:t xml:space="preserve">, la centrale hydraulique sera équipée de raccord rapide </w:t>
      </w:r>
      <w:r w:rsidR="008C60D0" w:rsidRPr="004960E0">
        <w:rPr>
          <w:rFonts w:ascii="Aptos" w:hAnsi="Aptos"/>
        </w:rPr>
        <w:t>anti-fuite</w:t>
      </w:r>
    </w:p>
    <w:p w14:paraId="7003B63F" w14:textId="77777777" w:rsidR="004960E0" w:rsidRPr="004960E0" w:rsidRDefault="004960E0" w:rsidP="004960E0">
      <w:pPr>
        <w:pStyle w:val="Paragraphedeliste"/>
        <w:jc w:val="both"/>
        <w:rPr>
          <w:rFonts w:ascii="Aptos" w:hAnsi="Aptos"/>
        </w:rPr>
      </w:pPr>
    </w:p>
    <w:p w14:paraId="72CE83FA" w14:textId="77777777" w:rsidR="005B1EC2" w:rsidRPr="004960E0" w:rsidRDefault="005B1EC2" w:rsidP="005B1EC2">
      <w:pPr>
        <w:jc w:val="both"/>
        <w:rPr>
          <w:rFonts w:ascii="Aptos" w:hAnsi="Aptos"/>
          <w:b/>
        </w:rPr>
      </w:pPr>
      <w:r w:rsidRPr="004960E0">
        <w:rPr>
          <w:rFonts w:ascii="Aptos" w:hAnsi="Aptos"/>
          <w:b/>
        </w:rPr>
        <w:t xml:space="preserve">La ou les bornes installées sur un même accès seront raccordées à leur </w:t>
      </w:r>
      <w:r>
        <w:rPr>
          <w:rFonts w:ascii="Aptos" w:hAnsi="Aptos"/>
          <w:b/>
        </w:rPr>
        <w:t>logique de commande One C</w:t>
      </w:r>
      <w:r w:rsidRPr="004960E0">
        <w:rPr>
          <w:rFonts w:ascii="Aptos" w:hAnsi="Aptos"/>
          <w:b/>
        </w:rPr>
        <w:t xml:space="preserve"> : </w:t>
      </w:r>
    </w:p>
    <w:p w14:paraId="28451B0D" w14:textId="5986A428" w:rsidR="00A70502" w:rsidRPr="00280077" w:rsidRDefault="00A70502" w:rsidP="00A70502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Gestion par carte ONE</w:t>
      </w:r>
      <w:r w:rsidR="00434344">
        <w:rPr>
          <w:rFonts w:ascii="Aptos" w:hAnsi="Aptos"/>
          <w:bCs/>
        </w:rPr>
        <w:t>-C</w:t>
      </w:r>
      <w:r w:rsidRPr="004960E0">
        <w:rPr>
          <w:rFonts w:ascii="Aptos" w:hAnsi="Aptos"/>
          <w:bCs/>
        </w:rPr>
        <w:t xml:space="preserve"> avec connexion IP</w:t>
      </w:r>
      <w:r>
        <w:rPr>
          <w:rFonts w:ascii="Aptos" w:hAnsi="Aptos"/>
          <w:bCs/>
        </w:rPr>
        <w:t>,</w:t>
      </w:r>
      <w:r w:rsidRPr="00280077">
        <w:rPr>
          <w:rFonts w:ascii="Averta Light" w:hAnsi="Averta Light" w:cs="Arial"/>
        </w:rPr>
        <w:t xml:space="preserve"> </w:t>
      </w:r>
      <w:r w:rsidRPr="00280077">
        <w:rPr>
          <w:rFonts w:ascii="Aptos" w:hAnsi="Aptos" w:cs="Arial"/>
        </w:rPr>
        <w:t>certifié PL-d catégorie 2 selon norme EN ISO 13849-1</w:t>
      </w:r>
    </w:p>
    <w:p w14:paraId="4FEC04E4" w14:textId="77777777" w:rsidR="005B1EC2" w:rsidRPr="004960E0" w:rsidRDefault="005B1EC2" w:rsidP="005B1EC2">
      <w:pPr>
        <w:pStyle w:val="Paragraphedeliste"/>
        <w:numPr>
          <w:ilvl w:val="0"/>
          <w:numId w:val="2"/>
        </w:numPr>
        <w:suppressAutoHyphens/>
        <w:spacing w:line="276" w:lineRule="auto"/>
        <w:contextualSpacing w:val="0"/>
        <w:jc w:val="both"/>
        <w:rPr>
          <w:rFonts w:ascii="Aptos" w:hAnsi="Aptos"/>
          <w:bCs/>
        </w:rPr>
      </w:pPr>
      <w:r w:rsidRPr="004960E0">
        <w:rPr>
          <w:rFonts w:ascii="Aptos" w:hAnsi="Aptos"/>
          <w:bCs/>
        </w:rPr>
        <w:t>Détecteur de boucle Bi canal à mémoire, fournit avec deux boucles</w:t>
      </w:r>
    </w:p>
    <w:p w14:paraId="2C8486C1" w14:textId="77777777" w:rsidR="005B1EC2" w:rsidRPr="004960E0" w:rsidRDefault="005B1EC2" w:rsidP="005B1EC2">
      <w:pPr>
        <w:jc w:val="both"/>
        <w:rPr>
          <w:rFonts w:ascii="Aptos" w:hAnsi="Aptos"/>
          <w:b/>
        </w:rPr>
      </w:pPr>
    </w:p>
    <w:p w14:paraId="7332717A" w14:textId="77777777" w:rsidR="005B1EC2" w:rsidRPr="004960E0" w:rsidRDefault="005B1EC2" w:rsidP="005B1EC2">
      <w:pPr>
        <w:jc w:val="both"/>
        <w:rPr>
          <w:rFonts w:ascii="Aptos" w:hAnsi="Aptos"/>
        </w:rPr>
      </w:pPr>
      <w:r w:rsidRPr="004960E0">
        <w:rPr>
          <w:rFonts w:ascii="Aptos" w:hAnsi="Aptos"/>
          <w:b/>
        </w:rPr>
        <w:t xml:space="preserve">La </w:t>
      </w:r>
      <w:r>
        <w:rPr>
          <w:rFonts w:ascii="Aptos" w:hAnsi="Aptos"/>
          <w:b/>
        </w:rPr>
        <w:t>logique de commande One C et la pompe hydraulique</w:t>
      </w:r>
      <w:r w:rsidRPr="004960E0">
        <w:rPr>
          <w:rFonts w:ascii="Aptos" w:hAnsi="Aptos"/>
          <w:b/>
        </w:rPr>
        <w:t xml:space="preserve"> </w:t>
      </w:r>
      <w:r w:rsidRPr="00A74047">
        <w:rPr>
          <w:rFonts w:ascii="Aptos" w:hAnsi="Aptos"/>
          <w:bCs/>
        </w:rPr>
        <w:t>ser</w:t>
      </w:r>
      <w:r>
        <w:rPr>
          <w:rFonts w:ascii="Aptos" w:hAnsi="Aptos"/>
          <w:bCs/>
        </w:rPr>
        <w:t>ont</w:t>
      </w:r>
      <w:r w:rsidRPr="00A74047">
        <w:rPr>
          <w:rFonts w:ascii="Aptos" w:hAnsi="Aptos"/>
          <w:bCs/>
        </w:rPr>
        <w:t xml:space="preserve"> intégrée</w:t>
      </w:r>
      <w:r>
        <w:rPr>
          <w:rFonts w:ascii="Aptos" w:hAnsi="Aptos"/>
          <w:bCs/>
        </w:rPr>
        <w:t>s</w:t>
      </w:r>
      <w:r w:rsidRPr="00A74047">
        <w:rPr>
          <w:rFonts w:ascii="Aptos" w:hAnsi="Aptos"/>
          <w:bCs/>
        </w:rPr>
        <w:t xml:space="preserve"> dans un mobilier de type Totem équipé d’une paire de feux à leds et d’un dispositif de déverrouillage, le totem sera conçu de sorte à pouvoir évoluer en fonction des besoins (ajout d’un module pour contrôle d’accès, ajout d’un module LAPI etc …) </w:t>
      </w:r>
    </w:p>
    <w:p w14:paraId="6EC1B6AC" w14:textId="77777777" w:rsidR="004960E0" w:rsidRDefault="004960E0" w:rsidP="005B1EC2">
      <w:pPr>
        <w:jc w:val="both"/>
        <w:rPr>
          <w:rFonts w:ascii="Calibri" w:hAnsi="Calibri" w:cs="Calibri"/>
          <w:sz w:val="20"/>
        </w:rPr>
      </w:pPr>
    </w:p>
    <w:sectPr w:rsidR="004960E0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3A98" w14:textId="77777777" w:rsidR="00D55601" w:rsidRDefault="00D55601" w:rsidP="00A46164">
      <w:r>
        <w:separator/>
      </w:r>
    </w:p>
  </w:endnote>
  <w:endnote w:type="continuationSeparator" w:id="0">
    <w:p w14:paraId="693E9173" w14:textId="77777777" w:rsidR="00D55601" w:rsidRDefault="00D55601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BE95" w14:textId="77777777" w:rsidR="00D55601" w:rsidRDefault="00D55601" w:rsidP="00A46164">
      <w:r>
        <w:separator/>
      </w:r>
    </w:p>
  </w:footnote>
  <w:footnote w:type="continuationSeparator" w:id="0">
    <w:p w14:paraId="20749BA8" w14:textId="77777777" w:rsidR="00D55601" w:rsidRDefault="00D55601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47225"/>
    <w:rsid w:val="00090EB0"/>
    <w:rsid w:val="00097986"/>
    <w:rsid w:val="000A2990"/>
    <w:rsid w:val="000D5336"/>
    <w:rsid w:val="000E0AC1"/>
    <w:rsid w:val="00107160"/>
    <w:rsid w:val="00113327"/>
    <w:rsid w:val="00130765"/>
    <w:rsid w:val="0016122C"/>
    <w:rsid w:val="00180674"/>
    <w:rsid w:val="001A4E6A"/>
    <w:rsid w:val="001E344B"/>
    <w:rsid w:val="00203133"/>
    <w:rsid w:val="00216132"/>
    <w:rsid w:val="00286B40"/>
    <w:rsid w:val="002F4908"/>
    <w:rsid w:val="003215F6"/>
    <w:rsid w:val="00344195"/>
    <w:rsid w:val="003473F5"/>
    <w:rsid w:val="00357E69"/>
    <w:rsid w:val="00434344"/>
    <w:rsid w:val="00466077"/>
    <w:rsid w:val="00484CB3"/>
    <w:rsid w:val="004960E0"/>
    <w:rsid w:val="004E7A7B"/>
    <w:rsid w:val="00520FF6"/>
    <w:rsid w:val="005A0ACB"/>
    <w:rsid w:val="005B1EC2"/>
    <w:rsid w:val="0062079A"/>
    <w:rsid w:val="006738D6"/>
    <w:rsid w:val="007E666B"/>
    <w:rsid w:val="008A1D44"/>
    <w:rsid w:val="008A511E"/>
    <w:rsid w:val="008A670A"/>
    <w:rsid w:val="008C60D0"/>
    <w:rsid w:val="008E71AF"/>
    <w:rsid w:val="008F3436"/>
    <w:rsid w:val="00965BC1"/>
    <w:rsid w:val="0097399C"/>
    <w:rsid w:val="009D19DD"/>
    <w:rsid w:val="009F0287"/>
    <w:rsid w:val="00A42045"/>
    <w:rsid w:val="00A46164"/>
    <w:rsid w:val="00A62EA0"/>
    <w:rsid w:val="00A70502"/>
    <w:rsid w:val="00A74047"/>
    <w:rsid w:val="00AA7617"/>
    <w:rsid w:val="00AB069F"/>
    <w:rsid w:val="00B91AF8"/>
    <w:rsid w:val="00BB5E24"/>
    <w:rsid w:val="00CC126C"/>
    <w:rsid w:val="00CC2225"/>
    <w:rsid w:val="00D20D7E"/>
    <w:rsid w:val="00D32F63"/>
    <w:rsid w:val="00D55601"/>
    <w:rsid w:val="00D66280"/>
    <w:rsid w:val="00DC2DE9"/>
    <w:rsid w:val="00DD102A"/>
    <w:rsid w:val="00DF51F8"/>
    <w:rsid w:val="00E1285F"/>
    <w:rsid w:val="00E45A44"/>
    <w:rsid w:val="00E90575"/>
    <w:rsid w:val="00F6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99"/>
    <w:rsid w:val="00A7050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8f0cbd50c02b26136111307829090dac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e7e2075de29cd429b29d9fd38920a08f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F7B5A3-0BA5-4DA9-B343-5510FFBB0162}"/>
</file>

<file path=customXml/itemProps3.xml><?xml version="1.0" encoding="utf-8"?>
<ds:datastoreItem xmlns:ds="http://schemas.openxmlformats.org/officeDocument/2006/customXml" ds:itemID="{F8D513D2-5376-4D29-A768-E671759E3A20}"/>
</file>

<file path=customXml/itemProps4.xml><?xml version="1.0" encoding="utf-8"?>
<ds:datastoreItem xmlns:ds="http://schemas.openxmlformats.org/officeDocument/2006/customXml" ds:itemID="{1EBF9E7C-6DC5-426A-AA18-1C6DEFB8B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501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14</cp:revision>
  <cp:lastPrinted>2024-03-07T13:51:00Z</cp:lastPrinted>
  <dcterms:created xsi:type="dcterms:W3CDTF">2024-04-18T15:17:00Z</dcterms:created>
  <dcterms:modified xsi:type="dcterms:W3CDTF">2025-01-15T12:26:00Z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</Properties>
</file>